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Time of filing or paying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Time of filing or paying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§153. TIME OF FILING OR PAYING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