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Unorganized Territory Tax District</w:t>
      </w:r>
    </w:p>
    <w:p>
      <w:pPr>
        <w:jc w:val="both"/>
        <w:spacing w:before="100" w:after="100"/>
        <w:ind w:start="360"/>
        <w:ind w:firstLine="360"/>
      </w:pPr>
      <w:r>
        <w:rPr/>
      </w:r>
      <w:r>
        <w:rPr/>
      </w:r>
      <w:r>
        <w:t xml:space="preserve">The Legislature hereby creates a tax district to be known as the Unorganized Territory Tax District. It shall include all of the unorganized territory of the State and any areas which may subsequently become a part thereof.</w:t>
      </w:r>
      <w:r>
        <w:t xml:space="preserve">  </w:t>
      </w:r>
      <w:r xmlns:wp="http://schemas.openxmlformats.org/drawingml/2010/wordprocessingDrawing" xmlns:w15="http://schemas.microsoft.com/office/word/2012/wordml">
        <w:rPr>
          <w:rFonts w:ascii="Arial" w:hAnsi="Arial" w:cs="Arial"/>
          <w:sz w:val="22"/>
          <w:szCs w:val="22"/>
        </w:rPr>
        <w:t xml:space="preserve">[PL 1977, c. 698,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Unorganized Territory Tax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Unorganized Territory Tax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§1601. UNORGANIZED TERRITORY TAX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