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Collection by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Collection by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§173. COLLECTION BY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