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Revocation of registration</w:t>
      </w:r>
    </w:p>
    <w:p>
      <w:pPr>
        <w:jc w:val="both"/>
        <w:spacing w:before="100" w:after="100"/>
        <w:ind w:start="360"/>
        <w:ind w:firstLine="360"/>
      </w:pPr>
      <w:r>
        <w:rPr/>
      </w:r>
      <w:r>
        <w:rPr/>
      </w:r>
      <w:r>
        <w:t xml:space="preserve">The State Tax Assessor may revoke the registration certificate of a registrant who fails to file, within 15 days after receipt of notice, a bond or deposit required under </w:t>
      </w:r>
      <w:r>
        <w:t>section 1759</w:t>
      </w:r>
      <w:r>
        <w:t xml:space="preserve"> and may revoke for cause a registration certificate issued under this Part.  The assessor may revoke the registration certificate of a registrant who fails to file with the assessor within 15 days after the due date a return as required under this Part.  A revocation is reviewable in accordance with </w:t>
      </w:r>
      <w:r>
        <w:t>section 151</w:t>
      </w:r>
      <w:r>
        <w:t xml:space="preserve">.  If a registrant fails to pay any tax required by this Part when the tax is shown to be due on a return filed by the registrant, or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the delinquent tax is paid or a bond or deposit required under section 1759 is filed with the assessor or it is determined by an appropriate court that revocation is not warranted.</w:t>
      </w:r>
      <w:r>
        <w:t xml:space="preserve">  </w:t>
      </w:r>
      <w:r xmlns:wp="http://schemas.openxmlformats.org/drawingml/2010/wordprocessingDrawing" xmlns:w15="http://schemas.microsoft.com/office/word/2012/wordml">
        <w:rPr>
          <w:rFonts w:ascii="Arial" w:hAnsi="Arial" w:cs="Arial"/>
          <w:sz w:val="22"/>
          <w:szCs w:val="22"/>
        </w:rPr>
        <w:t xml:space="preserve">[PL 2007, c. 438,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§702 (RPR). PL 1979, c. 520, §3 (AMD). PL 1985, c. 691, §9 (AMD). PL 2007, c. 438,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§1757.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§1757.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