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Confidentiality of tax records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Chief Procurement Officer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516, Pt. B, §53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Public Defense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558, §11 (AMD).]</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w:pPr>
        <w:jc w:val="both"/>
        <w:spacing w:before="100" w:after="0"/>
        <w:ind w:start="720"/>
      </w:pPr>
      <w:r>
        <w:rPr/>
        <w:t>UUU</w:t>
        <w:t xml:space="preserve">.  </w:t>
      </w:r>
      <w:r>
        <w:rPr/>
      </w:r>
      <w:r>
        <w:t xml:space="preserve">The disclosure to the joint standing committee of the Legislature having jurisdiction over taxation matters pursuant to </w:t>
      </w:r>
      <w:r>
        <w:t>section 5219‑BBB, subsection 4, paragraph C</w:t>
      </w:r>
      <w:r>
        <w:t xml:space="preserve"> of the revenue loss, including the loss due to refundable credits, attributable to each taxpayer claiming the tax credit for investment in qualified professional baseball facilities in the State provided under </w:t>
      </w:r>
      <w:r>
        <w:t>section 5219‑BBB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§53 (AMD); PL 2023, c. 558, §11 (AMD); PL 2023, c. 667, §1 (AMD).]</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14, paragraph G</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§6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PL 2023, c. 516, Pt. B, §53 (AMD). PL 2023, c. 558, §11 (AMD). PL 2023, c. 637, §6 (AMD). PL 2023, c. 667,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Confidentiality of tax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Confidentiality of tax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§191. CONFIDENTIALITY OF TAX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