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§2556. SOURCING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