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Distribution of remaining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§2862. DISTRIBUTION OF REMAINING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