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Distributor or importer; rate of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Distributor or importer; rate of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§2905. DISTRIBUTOR OR IMPORTER; RATE OF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