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Refund of entire tax paid by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Refund of entire tax paid by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§2909. REFUND OF ENTIRE TAX PAID BY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