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§3917. Determination of domicile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§3917. Determination of domicile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§3917. DETERMINATION OF DOMICILE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