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w:t>
        <w:t xml:space="preserve">.  </w:t>
      </w:r>
      <w:r>
        <w:rPr>
          <w:b/>
        </w:rPr>
        <w:t xml:space="preserve">Filing of determination of domicile and other documents</w:t>
      </w:r>
    </w:p>
    <w:p>
      <w:pPr>
        <w:jc w:val="both"/>
        <w:spacing w:before="100" w:after="100"/>
        <w:ind w:start="360"/>
        <w:ind w:firstLine="360"/>
      </w:pPr>
      <w:r>
        <w:rPr/>
      </w:r>
      <w:r>
        <w:rPr/>
      </w:r>
      <w:r>
        <w:t xml:space="preserve">The State Tax Assessor, the board or the personal representative shall file the determination of the board as to domicile, the record of the board's proceedings and the agreement, or a duplicate, made pursuant to </w:t>
      </w:r>
      <w:r>
        <w:t>section 3914</w:t>
      </w:r>
      <w:r>
        <w:t xml:space="preserve">, with the authority having jurisdiction to assess the death taxes in the state determined to be the domicile and shall file copies of all those documents with the authorities that would have been empowered to assess the death taxes in each of the other states involved.</w:t>
      </w:r>
      <w:r>
        <w:t xml:space="preserve">  </w:t>
      </w:r>
      <w:r xmlns:wp="http://schemas.openxmlformats.org/drawingml/2010/wordprocessingDrawing" xmlns:w15="http://schemas.microsoft.com/office/word/2012/wordml">
        <w:rPr>
          <w:rFonts w:ascii="Arial" w:hAnsi="Arial" w:cs="Arial"/>
          <w:sz w:val="22"/>
          <w:szCs w:val="22"/>
        </w:rPr>
        <w:t xml:space="preserve">[PL 1983, c. 480,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§3919. Filing of determination of domicile and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 Filing of determination of domicile and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§3919. FILING OF DETERMINATION OF DOMICILE AND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