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Compensation and expenses</w:t>
      </w:r>
    </w:p>
    <w:p>
      <w:pPr>
        <w:jc w:val="both"/>
        <w:spacing w:before="100" w:after="100"/>
        <w:ind w:start="360"/>
        <w:ind w:firstLine="360"/>
      </w:pPr>
      <w:r>
        <w:rPr/>
      </w:r>
      <w:r>
        <w:rPr/>
      </w:r>
      <w:r>
        <w:t xml:space="preserve">The compensation and expenses of the members of the board and its employees may be agreed upon among the members and the personal representative and if they cannot agree shall be fixed by the Probate Court of the state determined by the board to be the domicile of the decedent. The amounts so agreed upon or fixed shall be deemed an administration expense and shall be payable by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1983, c. 480,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§3922.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§3922.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