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Tax on estate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Tax on estate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§4103. TAX ON ESTATE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