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§4366-A. Cigarette tax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§4366-A. Cigarette tax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§4366-A. CIGARETTE TAX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