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4402</w:t>
        <w:t xml:space="preserve">.  </w:t>
      </w:r>
      <w:r>
        <w:rPr>
          <w:b/>
        </w:rPr>
        <w:t xml:space="preserve">Licenses</w:t>
      </w:r>
    </w:p>
    <w:p>
      <w:pPr>
        <w:jc w:val="both"/>
        <w:spacing w:before="100" w:after="0"/>
        <w:ind w:start="360"/>
        <w:ind w:firstLine="360"/>
      </w:pPr>
      <w:r>
        <w:rPr>
          <w:b/>
        </w:rPr>
        <w:t>1</w:t>
        <w:t xml:space="preserve">.  </w:t>
      </w:r>
      <w:r>
        <w:rPr>
          <w:b/>
        </w:rPr>
        <w:t xml:space="preserve">Generally.</w:t>
        <w:t xml:space="preserve"> </w:t>
      </w:r>
      <w:r>
        <w:t xml:space="preserve"> </w:t>
      </w:r>
      <w:r>
        <w:t xml:space="preserve">Every distributor or remote retail seller shall obtain a license from the State Tax Assessor before engaging in business.  A retailer required to be licensed as a distributor or remote retail seller pursuant to this chapter that is required to hold a current retail tobacco license issued under </w:t>
      </w:r>
      <w:r>
        <w:t>Title 22, chapter 262‑A, subchapter 1</w:t>
      </w:r>
      <w:r>
        <w:t xml:space="preserve"> must hold that license as a condition for licensure under this chapter.  A license issued pursuant to this section may not be transferred to any other person.  A license issued pursuant to this section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§10 (AMD); PL 2023, c. 441, Pt. E, §28 (AFF).]</w:t>
      </w:r>
    </w:p>
    <w:p>
      <w:pPr>
        <w:jc w:val="both"/>
        <w:spacing w:before="100" w:after="0"/>
        <w:ind w:start="360"/>
        <w:ind w:firstLine="360"/>
      </w:pPr>
      <w:r>
        <w:rPr>
          <w:b/>
        </w:rPr>
        <w:t>2</w:t>
        <w:t xml:space="preserve">.  </w:t>
      </w:r>
      <w:r>
        <w:rPr>
          <w:b/>
        </w:rPr>
        <w:t xml:space="preserve">Applications; forms.</w:t>
        <w:t xml:space="preserve"> </w:t>
      </w:r>
      <w:r>
        <w:t xml:space="preserve"> </w:t>
      </w:r>
      <w:r>
        <w:t xml:space="preserve">Every license application must be made on a form prescribed by the assessor and must state the name and address of the applicant, the address of the applicant's principal place of business and such other information as the assessor may require for the proper administration of this chapter.  A person applying for a license shall agree to submit that person's books, accounts and records to examination by the bureau during reasonable business hours and to accept service of process by mail when service is made in any proceeding involving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§11 (AMD); PL 2023, c. 441, Pt. E, §28 (AFF).]</w:t>
      </w:r>
    </w:p>
    <w:p>
      <w:pPr>
        <w:jc w:val="both"/>
        <w:spacing w:before="100" w:after="0"/>
        <w:ind w:start="360"/>
        <w:ind w:firstLine="360"/>
      </w:pPr>
      <w:r>
        <w:rPr>
          <w:b/>
        </w:rPr>
        <w:t>3</w:t>
        <w:t xml:space="preserve">.  </w:t>
      </w:r>
      <w:r>
        <w:rPr>
          <w:b/>
        </w:rPr>
        <w:t xml:space="preserve">Expiration and reissuance.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§16 (RP).]</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a violation of this section.</w:t>
      </w:r>
    </w:p>
    <w:p>
      <w:pPr>
        <w:jc w:val="both"/>
        <w:spacing w:before="100" w:after="0"/>
        <w:ind w:start="720"/>
      </w:pPr>
      <w:r>
        <w:rPr/>
        <w:t>A</w:t>
        <w:t xml:space="preserve">.  </w:t>
      </w:r>
      <w:r>
        <w:rPr/>
      </w:r>
      <w:r>
        <w:t xml:space="preserve">A distributor or remote retail seller that imports into this State any tobacco product without holding a license issued by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2023, c. 441, Pt. E, §12 (AMD); PL 2023, c. 441, Pt. E, §28 (AFF).]</w:t>
      </w:r>
    </w:p>
    <w:p>
      <w:pPr>
        <w:jc w:val="both"/>
        <w:spacing w:before="100" w:after="0"/>
        <w:ind w:start="720"/>
      </w:pPr>
      <w:r>
        <w:rPr/>
        <w:t>B</w:t>
        <w:t xml:space="preserve">.  </w:t>
      </w:r>
      <w:r>
        <w:rPr/>
      </w:r>
      <w:r>
        <w:t xml:space="preserve">A distributor or remote retail seller that violates </w:t>
      </w:r>
      <w:r>
        <w:t>paragraph A</w:t>
      </w:r>
      <w:r>
        <w:t xml:space="preserve"> after having been previously adjudicated as violating </w:t>
      </w:r>
      <w:r>
        <w:t>paragraph A</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2023, c. 441, Pt. E, §12 (AMD); PL 2023, c. 441, Pt. E, §28 (AFF).]</w:t>
      </w:r>
    </w:p>
    <w:p>
      <w:pPr>
        <w:jc w:val="both"/>
        <w:spacing w:before="100" w:after="0"/>
        <w:ind w:start="720"/>
      </w:pPr>
      <w:r>
        <w:rPr/>
        <w:t>C</w:t>
        <w:t xml:space="preserve">.  </w:t>
      </w:r>
      <w:r>
        <w:rPr/>
      </w:r>
      <w:r>
        <w:t xml:space="preserve">A distributor or remote retail seller that sells at wholesale or retail, offers for sale at wholesale or retail or possesses with intent to sell at wholesale or retail any tobacco product without holding a license issued by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2023, c. 441, Pt. E, §12 (AMD); PL 2023, c. 441, Pt. E, §28 (AFF).]</w:t>
      </w:r>
    </w:p>
    <w:p>
      <w:pPr>
        <w:jc w:val="both"/>
        <w:spacing w:before="100" w:after="0"/>
        <w:ind w:start="720"/>
      </w:pPr>
      <w:r>
        <w:rPr/>
        <w:t>D</w:t>
        <w:t xml:space="preserve">.  </w:t>
      </w:r>
      <w:r>
        <w:rPr/>
      </w:r>
      <w:r>
        <w:t xml:space="preserve">A distributor or remote retail seller that violates </w:t>
      </w:r>
      <w:r>
        <w:t>paragraph C</w:t>
      </w:r>
      <w:r>
        <w:t xml:space="preserve"> after having been previously adjudicated as violating </w:t>
      </w:r>
      <w:r>
        <w:t>paragraph C</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2023, c. 441, Pt. E, §12 (AMD);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§12 (AMD); PL 2023, c. 441, Pt. E, §28 (AFF).]</w:t>
      </w:r>
    </w:p>
    <w:p>
      <w:pPr>
        <w:jc w:val="both"/>
        <w:spacing w:before="100" w:after="0"/>
        <w:ind w:start="360"/>
        <w:ind w:firstLine="360"/>
      </w:pPr>
      <w:r>
        <w:rPr>
          <w:b/>
        </w:rPr>
        <w:t>5</w:t>
        <w:t xml:space="preserve">.  </w:t>
      </w:r>
      <w:r>
        <w:rPr>
          <w:b/>
        </w:rPr>
        <w:t xml:space="preserve">Surrender, revocation or suspension.</w:t>
        <w:t xml:space="preserve"> </w:t>
      </w:r>
      <w:r>
        <w:t xml:space="preserve"> </w:t>
      </w:r>
      <w:r>
        <w:t xml:space="preserve">When the business with respect to which a license was issued pursuant to this section is sold or ceases to do business in this State, the holder of the license shall immediately surrender it to the assessor.  The assessor may revoke or suspend the license of any distributor or remote retail seller for failure to comply with any provision of this chapter or if the person no longer imports or sells tobacco products.  A license that has been revoked or suspended pursuant to this subsection must be immediately surrendered to the assessor. A person aggrieved by a revocation or suspension may request reconsideration as provided in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§13 (AMD); PL 2023, c. 441, Pt. E, §28 (AFF).]</w:t>
      </w:r>
    </w:p>
    <w:p>
      <w:pPr>
        <w:jc w:val="both"/>
        <w:spacing w:before="100" w:after="0"/>
        <w:ind w:start="360"/>
        <w:ind w:firstLine="360"/>
      </w:pPr>
      <w:r>
        <w:rPr>
          <w:b/>
        </w:rPr>
        <w:t>6</w:t>
        <w:t xml:space="preserve">.  </w:t>
      </w:r>
      <w:r>
        <w:rPr>
          <w:b/>
        </w:rPr>
        <w:t xml:space="preserve">License directory maintained.</w:t>
        <w:t xml:space="preserve"> </w:t>
      </w:r>
      <w:r>
        <w:t xml:space="preserve"> </w:t>
      </w:r>
      <w:r>
        <w:t xml:space="preserve">The assessor shall maintain a directory of distributors and remote retail sellers licensed pursuant to this chapter.  The assessor shall update the directory as necessary, but not less than annually.  Notwithstanding the provisions of </w:t>
      </w:r>
      <w:r>
        <w:t>section 191</w:t>
      </w:r>
      <w:r>
        <w:t xml:space="preserve">, the list must be available to the public and must be posted on a publicly accessible website maintained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§14 (AMD); PL 2023, c. 441, Pt. E, §28 (AFF).]</w:t>
      </w:r>
    </w:p>
    <w:p>
      <w:pPr>
        <w:jc w:val="both"/>
        <w:spacing w:before="100" w:after="0"/>
        <w:ind w:start="360"/>
        <w:ind w:firstLine="360"/>
      </w:pPr>
      <w:r>
        <w:rPr>
          <w:b/>
        </w:rPr>
        <w:t>7</w:t>
        <w:t xml:space="preserve">.  </w:t>
      </w:r>
      <w:r>
        <w:rPr>
          <w:b/>
        </w:rPr>
        <w:t xml:space="preserve">Notification.</w:t>
        <w:t xml:space="preserve"> </w:t>
      </w:r>
      <w:r>
        <w:t xml:space="preserve"> </w:t>
      </w:r>
      <w:r>
        <w:t xml:space="preserve">A distributor or remote retail seller that has its license suspended or revoked, within 10 business days of the suspension or revocation, shall inform in writing all its accounts in this State that it no longer holds a valid license under this section.  Notwithstanding the provisions of </w:t>
      </w:r>
      <w:r>
        <w:t>section 191</w:t>
      </w:r>
      <w:r>
        <w:t xml:space="preserve">, the assessor may publish the names of distributors and remote retail sellers that have had a license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§15 (AMD);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1997, c. 526, §14 (AMD). PL 2001, c. 382, §1 (AMD). PL 2001, c. 526, §4 (AMD). PL 2003, c. 439, §4 (AMD). PL 2005, c. 627, §7 (RPR). PL 2013, c. 331, Pt. C, §31 (AMD). PL 2013, c. 331, Pt. C, §41 (AFF). PL 2015, c. 300, Pt. A, §37 (AMD). PL 2019, c. 379, Pt. B, §§15-18 (AMD). PL 2023, c. 441, Pt. E, §§10-15 (AMD). PL 2023, c. 441, Pt. E,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§4402.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§4402.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§4402.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