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5111-A</w:t>
        <w:t xml:space="preserve">.  </w:t>
      </w:r>
      <w:r>
        <w:rPr>
          <w:b/>
        </w:rPr>
        <w:t xml:space="preserve">Alternative method of computation</w:t>
      </w:r>
    </w:p>
    <w:p>
      <w:pPr>
        <w:jc w:val="both"/>
        <w:spacing w:before="100" w:after="100"/>
        <w:ind w:start="360"/>
        <w:ind w:firstLine="360"/>
      </w:pPr>
      <w:r>
        <w:rPr/>
      </w:r>
      <w:r>
        <w:rPr/>
      </w:r>
      <w:r>
        <w:t xml:space="preserve">In lieu of a tax computed exactly according to the rates set forth in </w:t>
      </w:r>
      <w:r>
        <w:t>section 5111</w:t>
      </w:r>
      <w:r>
        <w:t xml:space="preserve">, taxpayers may utilize a tax table.  The State Tax Assessor shall prepare and issue tables approximating as near as practicable the tax computed using </w:t>
      </w:r>
      <w:r>
        <w:t>section 5111</w:t>
      </w:r>
      <w:r>
        <w:t xml:space="preserve"> for this express purpose.</w:t>
      </w:r>
      <w:r>
        <w:t xml:space="preserve">  </w:t>
      </w:r>
      <w:r xmlns:wp="http://schemas.openxmlformats.org/drawingml/2010/wordprocessingDrawing" xmlns:w15="http://schemas.microsoft.com/office/word/2012/wordml">
        <w:rPr>
          <w:rFonts w:ascii="Arial" w:hAnsi="Arial" w:cs="Arial"/>
          <w:sz w:val="22"/>
          <w:szCs w:val="22"/>
        </w:rPr>
        <w:t xml:space="preserve">[PL 1987, c. 819,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 §4 (NEW). PL 1975, c. 765, §26 (AMD). PL 1987, c. 819,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§5111-A. Alternative method of computation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§5111-A. Alternative method of computation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§5111-A. ALTERNATIVE METHOD OF COMPUTATION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