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§5219-L. Super credit for substantially increased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§5219-L. Super credit for substantially increased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§5219-L. SUPER CREDIT FOR SUBSTANTIALLY INCREASED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