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§5293. Emergency food assistance program;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§5293. Emergency food assistance program;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§5293. EMERGENCY FOOD ASSISTANCE PROGRAM;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