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583</w:t>
        <w:t xml:space="preserve">.  </w:t>
      </w:r>
      <w:r>
        <w:rPr>
          <w:b/>
        </w:rPr>
        <w:t xml:space="preserve">Abatement</w:t>
      </w:r>
    </w:p>
    <w:p>
      <w:pPr>
        <w:jc w:val="both"/>
        <w:spacing w:before="100" w:after="100"/>
        <w:ind w:start="360"/>
        <w:ind w:firstLine="360"/>
      </w:pPr>
      <w:r>
        <w:rPr/>
      </w:r>
      <w:r>
        <w:rPr/>
      </w:r>
      <w:r>
        <w:t xml:space="preserve">Assessments made under this subchapter and denials of applications for valuation under this subchapter are subject to the abatement procedures provided by </w:t>
      </w:r>
      <w:r>
        <w:t>section 841</w:t>
      </w:r>
      <w:r>
        <w:t xml:space="preserve">. Appeal from an abatement decision rendered under </w:t>
      </w:r>
      <w:r>
        <w:t>section 841</w:t>
      </w:r>
      <w:r>
        <w:t xml:space="preserve"> shall be to the State Board of Property Tax Review.</w:t>
      </w:r>
      <w:r>
        <w:t xml:space="preserve">  </w:t>
      </w:r>
      <w:r xmlns:wp="http://schemas.openxmlformats.org/drawingml/2010/wordprocessingDrawing" xmlns:w15="http://schemas.microsoft.com/office/word/2012/wordml">
        <w:rPr>
          <w:rFonts w:ascii="Arial" w:hAnsi="Arial" w:cs="Arial"/>
          <w:sz w:val="22"/>
          <w:szCs w:val="22"/>
        </w:rPr>
        <w:t xml:space="preserve">[PL 1985, c. 764,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§18 (AMD). PL 1973, c. 536, §22 (AMD). PL 1973, c. 592, §6 (AMD). PL 1973, c. 645, §§2,3 (AMD). PL 1977, c. 509, §§10-12 (AMD). PL 1977, c. 549, §§6,7 (AMD). PL 1977, c. 694, §687 (RPR). PL 1977, c. 720, §§6,7 (AMD). PL 1979, c. 520, §2 (RPR). PL 1979, c. 666, §19 (AMD). PL 1985, c. 764,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§583. Abatement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§583. Abatement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§583. ABATEMENT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