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 where taxed</w:t>
      </w:r>
    </w:p>
    <w:p>
      <w:pPr>
        <w:jc w:val="both"/>
        <w:spacing w:before="100" w:after="100"/>
        <w:ind w:start="360"/>
        <w:ind w:firstLine="360"/>
      </w:pPr>
      <w:r>
        <w:rPr/>
      </w:r>
      <w:r>
        <w:rPr/>
      </w:r>
      <w:r>
        <w:t xml:space="preserve">All personal property within or without the State, except in cases enumerated in </w:t>
      </w:r>
      <w:r>
        <w:t>section 603</w:t>
      </w:r>
      <w:r>
        <w:t xml:space="preserve">, shall be taxed to the owner in the place where he resides.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 where taxed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 where taxed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§602. -- WHERE TAXED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