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6203-A</w:t>
        <w:t xml:space="preserve">.  </w:t>
      </w:r>
      <w:r>
        <w:rPr>
          <w:b/>
        </w:rPr>
        <w:t xml:space="preserve">Procedure for reimbursement</w:t>
      </w:r>
    </w:p>
    <w:p>
      <w:pPr>
        <w:jc w:val="both"/>
        <w:spacing w:before="100" w:after="100"/>
        <w:ind w:start="360"/>
        <w:ind w:firstLine="360"/>
      </w:pPr>
      <w:r>
        <w:rPr/>
      </w:r>
      <w:r>
        <w:rPr/>
      </w:r>
      <w:r>
        <w:t xml:space="preserve">At least monthly on or before the last day of the month, the State Tax Assessor shall determine the benefit for each claimant under this chapter and certify the amount to the State Controller to be transferred to the so-called circuit breaker reserve established, maintained and administered by the State Controller from General Fund undedicated revenue.  At least monthly, the assessor shall pay the certified amounts to each approved applicant qualifying for the benefit under this chapter.  Interest may not be allowed on any payment made to a claimant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213, Pt. S,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§BB2 (NEW). PL 2009, c. 213, Pt. S, §14 (AMD). PL 2009, c. 213, Pt. S,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§6203-A. Procedure for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§6203-A. Procedure for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§6203-A. PROCEDURE FOR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