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Property of institutions and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Property of institutions and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§652. PROPERTY OF INSTITUTIONS AND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