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Estates of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Estates of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§653. ESTATES OF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