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w:pPr>
        <w:jc w:val="both"/>
        <w:spacing w:before="100" w:after="0"/>
        <w:ind w:start="360"/>
        <w:ind w:firstLine="360"/>
      </w:pPr>
      <w:r>
        <w:rPr>
          <w:b/>
        </w:rPr>
        <w:t>1</w:t>
        <w:t xml:space="preserve">.  </w:t>
      </w:r>
      <w:r>
        <w:rPr>
          <w:b/>
        </w:rPr>
        <w:t xml:space="preserve">Lookback period.</w:t>
        <w:t xml:space="preserve"> </w:t>
      </w:r>
      <w:r>
        <w:t xml:space="preserve"> </w:t>
      </w:r>
      <w:r>
        <w:t xml:space="preserve">"Lookback period" means the period from January 1, 2000 to December 31,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2</w:t>
        <w:t xml:space="preserve">.  </w:t>
      </w:r>
      <w:r>
        <w:rPr>
          <w:b/>
        </w:rPr>
        <w:t xml:space="preserve">Program period.</w:t>
        <w:t xml:space="preserve"> </w:t>
      </w:r>
      <w:r>
        <w:t xml:space="preserve"> </w:t>
      </w:r>
      <w:r>
        <w:t xml:space="preserve">"Program period" means the period from July 1, 2006 to December 31,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