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Duty of assessor;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Duty of assessor;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 DUTY OF ASSESSOR;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