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Denial of homestead exemption; appeals</w:t>
      </w:r>
    </w:p>
    <w:p>
      <w:pPr>
        <w:jc w:val="both"/>
        <w:spacing w:before="100" w:after="100"/>
        <w:ind w:start="360"/>
        <w:ind w:firstLine="360"/>
      </w:pPr>
      <w:r>
        <w:rPr/>
      </w:r>
      <w:r>
        <w:rPr/>
      </w:r>
      <w:r>
        <w:t xml:space="preserve">If the assessor determines that a property is not entitled to a homestead exemption under this subchapter, the assessor shall promptly provide a notice of denial, including the reasons for the denial, to the applicant by either personal delivery or regular mail.  An applicant may appeal a denial of an exemption under this subchapter using the procedures provided in </w:t>
      </w:r>
      <w:r>
        <w:t>subchapter 8</w:t>
      </w:r>
      <w:r>
        <w:t xml:space="preserve">.  If the assessor determines that a property receiving an exemption under this subchapter any year within the 10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2019, c. 607,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2019, c. 607,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 Denial of homestead exemption;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Denial of homestead exemption;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§686. DENIAL OF HOMESTEAD EXEMPTION;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