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§7124. Authority to enter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§7124. Authority to enter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§7124. AUTHORITY TO ENTER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