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§7125. Relationship to state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Relationship to state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§7125. RELATIONSHIP TO STATE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