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Warrant for completion of collection; form</w:t>
      </w:r>
    </w:p>
    <w:p>
      <w:pPr>
        <w:jc w:val="both"/>
        <w:spacing w:before="100" w:after="100"/>
        <w:ind w:start="360"/>
        <w:ind w:firstLine="360"/>
      </w:pPr>
      <w:r>
        <w:rPr/>
      </w:r>
      <w:r>
        <w:rPr/>
      </w:r>
      <w:r>
        <w:t xml:space="preserve">The State Tax Assessor shall prescribe the form of the warrant to be used by the assessors or municipal officers for the completion of the collection of taxes under </w:t>
      </w:r>
      <w:r>
        <w:t>sections 763</w:t>
      </w:r>
      <w:r>
        <w:t xml:space="preserve"> to </w:t>
      </w:r>
      <w:r>
        <w:t>765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765,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§§29-30 (AMD). PL 1975, c. 765,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§766. Warrant for completion of collection;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Warrant for completion of collection;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§766. WARRANT FOR COMPLETION OF COLLECTION;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