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899</w:t>
        <w:t xml:space="preserve">.  </w:t>
      </w:r>
      <w:r>
        <w:rPr>
          <w:b/>
        </w:rPr>
        <w:t xml:space="preserve">Municipalities may choose another tax collector</w:t>
      </w:r>
    </w:p>
    <w:p>
      <w:pPr>
        <w:jc w:val="both"/>
        <w:spacing w:before="100" w:after="100"/>
        <w:ind w:start="360"/>
        <w:ind w:firstLine="360"/>
      </w:pPr>
      <w:r>
        <w:rPr/>
      </w:r>
      <w:r>
        <w:rPr/>
      </w:r>
      <w:r>
        <w:t xml:space="preserve">The same municipality may, at any time, proceed to the choice of another collector, to complete the collection of taxes, who shall be sworn and give the security required of the first collector. The assessors or, in the case of primary assessing areas, the municipal officers shall deliver to him the uncollected assessments, with a proper warrant for their collection, and he shall proceed as prescribed.</w:t>
      </w:r>
      <w:r>
        <w:t xml:space="preserve">  </w:t>
      </w:r>
      <w:r xmlns:wp="http://schemas.openxmlformats.org/drawingml/2010/wordprocessingDrawing" xmlns:w15="http://schemas.microsoft.com/office/word/2012/wordml">
        <w:rPr>
          <w:rFonts w:ascii="Arial" w:hAnsi="Arial" w:cs="Arial"/>
          <w:sz w:val="22"/>
          <w:szCs w:val="22"/>
        </w:rPr>
        <w:t xml:space="preserve">[PL 1973, c. 695,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§34 (AMD). PL 1973, c. 695,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§899. Municipalities may choose another tax collector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§899. Municipalities may choose another tax collector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§899. MUNICIPALITIES MAY CHOOSE ANOTHER TAX COLLECTOR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