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998</w:t>
        <w:t xml:space="preserve">.  </w:t>
      </w:r>
      <w:r>
        <w:rPr>
          <w:b/>
        </w:rPr>
        <w:t xml:space="preserve">Collector liable unless he commits within one year</w:t>
      </w:r>
    </w:p>
    <w:p>
      <w:pPr>
        <w:jc w:val="both"/>
        <w:spacing w:before="100" w:after="100"/>
        <w:ind w:start="360"/>
        <w:ind w:firstLine="360"/>
      </w:pPr>
      <w:r>
        <w:rPr/>
      </w:r>
      <w:r>
        <w:rPr/>
      </w:r>
      <w:r>
        <w:t xml:space="preserve">When a person imprisoned for not paying his tax is discharged, the tax collector committing him shall not be discharged from such tax without a vote of the municipality, unless the taxpayer was imprisoned within one year after the date of commitment of such tax.</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§998. Collector liable unless he commits within one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§998. Collector liable unless he commits within one year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§998. COLLECTOR LIABLE UNLESS HE COMMITS WITHIN ONE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