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Exemption from attachment and distress</w:t>
      </w:r>
    </w:p>
    <w:p>
      <w:pPr>
        <w:jc w:val="both"/>
        <w:spacing w:before="100" w:after="100"/>
        <w:ind w:start="360"/>
        <w:ind w:firstLine="360"/>
      </w:pPr>
      <w:r>
        <w:rPr/>
      </w:r>
      <w:r>
        <w:rPr/>
      </w:r>
      <w:r>
        <w:t xml:space="preserve">The clothes, arms, military outfit and accoutrements furnished by or through the State to, or required of, a member of the state military forces are not subject to any civil action, distress, execution or sale for debt or payment of taxes.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 Exemption from attachment and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Exemption from attachment and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§262. EXEMPTION FROM ATTACHMENT AND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