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Penalty for violation of this section</w:t>
      </w:r>
    </w:p>
    <w:p>
      <w:pPr>
        <w:jc w:val="both"/>
        <w:spacing w:before="100" w:after="100"/>
        <w:ind w:start="360"/>
        <w:ind w:firstLine="360"/>
      </w:pPr>
      <w:r>
        <w:rPr/>
      </w:r>
      <w:r>
        <w:rPr/>
      </w:r>
      <w:r>
        <w:t xml:space="preserve">Any municipal officer who fails to comply with this subchapter is guilty of a Class E crime.  Any fine imposed under this section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594,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Penalty for violation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Penalty for violation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§307. PENALTY FOR VIOLATION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