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§949-J. LIMITATIONS ON CIVIL LIABILITY FOR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