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13-C</w:t>
      </w:r>
    </w:p>
    <w:p>
      <w:pPr>
        <w:jc w:val="center"/>
        <w:ind w:start="360"/>
        <w:spacing w:before="300" w:after="300"/>
      </w:pPr>
      <w:r>
        <w:rPr>
          <w:b/>
        </w:rPr>
        <w:t xml:space="preserve">SLUDGE AND RESIDUALS UTILIZATION RESEARCH</w:t>
      </w:r>
    </w:p>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jc w:val="both"/>
        <w:spacing w:before="100" w:after="100"/>
        <w:ind w:start="1080" w:hanging="720"/>
      </w:pPr>
      <w:r>
        <w:rPr>
          <w:b/>
        </w:rPr>
        <w:t>§</w:t>
        <w:t>1382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1991, c. 517, §B2 (AMD). PL 1995, c. 465, §A25 (AMD). PL 1995, c. 465, §C2 (AFF). PL 1999, c. 668, §128 (RP). </w:t>
      </w:r>
    </w:p>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1385</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1386</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1388</w:t>
        <w:t xml:space="preserve">.  </w:t>
      </w:r>
      <w:r>
        <w:rPr>
          <w:b/>
        </w:rPr>
        <w:t xml:space="preserve">Dissolution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13-C. SLUDGE AND RESIDUALS UTILIZATION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13-C. SLUDGE AND RESIDUALS UTILIZATION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