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16-A</w:t>
      </w:r>
    </w:p>
    <w:p>
      <w:pPr>
        <w:jc w:val="center"/>
        <w:ind w:start="360"/>
        <w:spacing w:before="300" w:after="300"/>
      </w:pPr>
      <w:r>
        <w:rPr>
          <w:b/>
        </w:rPr>
        <w:t xml:space="preserve">NONDEGRADABLE FOOD AND BEVERAGE CONTAINERS</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804 (NEW). PL 2019, c. 62, §2 (RP). </w:t>
      </w:r>
    </w:p>
    <w:p>
      <w:pPr>
        <w:jc w:val="both"/>
        <w:spacing w:before="100" w:after="100"/>
        <w:ind w:start="1080" w:hanging="720"/>
      </w:pPr>
      <w:r>
        <w:rPr>
          <w:b/>
        </w:rPr>
        <w:t>§</w:t>
        <w:t>1652</w:t>
        <w:t xml:space="preserve">.  </w:t>
      </w:r>
      <w:r>
        <w:rPr>
          <w:b/>
        </w:rPr>
        <w:t xml:space="preserve">State and political subdivision facilities and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804 (NEW). PL 1989, c. 38, §§1,2 (AMD). PL 1989, c. 878, §B43 (AMD). PL 1993, c. 323, §1 (AMD). PL 1997, c. 195, §1 (AMD). PL 2011, c. 655, Pt. GG, §18 (AMD). PL 2011, c. 655, Pt. GG, §70 (AFF). PL 2011, c. 657, Pt. BB, §16 (AMD). PL 2019, c. 62, §2 (RP). </w:t>
      </w:r>
    </w:p>
    <w:p>
      <w:pPr>
        <w:jc w:val="both"/>
        <w:spacing w:before="100" w:after="100"/>
        <w:ind w:start="1080" w:hanging="720"/>
      </w:pPr>
      <w:r>
        <w:rPr>
          <w:b/>
        </w:rPr>
        <w:t>§</w:t>
        <w:t>1653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804 (NEW). PL 2019, c. 62, §2 (RP). </w:t>
      </w:r>
    </w:p>
    <w:p>
      <w:pPr>
        <w:jc w:val="both"/>
        <w:spacing w:before="100" w:after="100"/>
        <w:ind w:start="1080" w:hanging="720"/>
      </w:pPr>
      <w:r>
        <w:rPr>
          <w:b/>
        </w:rPr>
        <w:t>§</w:t>
        <w:t>1654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804 (NEW). PL 2019, c. 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16-A. NONDEGRADABLE FOOD AND BEVERAGE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16-A. NONDEGRADABLE FOOD AND BEVERAGE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16-A. NONDEGRADABLE FOOD AND BEVERAGE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