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REFUSE DISPOSAL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jc w:val="both"/>
        <w:spacing w:before="100" w:after="100"/>
        <w:ind w:start="1080" w:hanging="720"/>
      </w:pPr>
      <w:r>
        <w:rPr>
          <w:b/>
        </w:rPr>
        <w:t>§</w:t>
        <w:t>1728</w:t>
        <w:t xml:space="preserve">.  </w:t>
      </w:r>
      <w:r>
        <w:rPr>
          <w:b/>
        </w:rPr>
        <w:t xml:space="preserve">Withdrawal of member municipalities</w:t>
      </w:r>
    </w:p>
    <w:p>
      <w:pPr>
        <w:jc w:val="both"/>
        <w:spacing w:before="100" w:after="100"/>
        <w:ind w:start="360"/>
        <w:ind w:firstLine="360"/>
      </w:pPr>
      <w:r>
        <w:rPr/>
      </w:r>
      <w:r>
        <w:rPr/>
      </w:r>
      <w:r>
        <w:t xml:space="preserve">Withdrawal of a member municipality may take place at any time prior to the commitment by the district, or any member municipality on behalf of the district, to issue any instrument of indebtedness, including, but not limited to, bonds and notes with a maturity of one year or more.  The date upon which a district or member municipality is committed to issue the debt shall be established by a majority vote of the board of directors, at least 90 days in advance of that date.  At the time of withdrawal, the withdrawing municipality shall remain liable for its proportionate share of district debts and operating expenses incurred prior to the date of withdrawal, and shall make provisions satisfactory to the board of directors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issuance of instruments of indebtedness with a maturity of one year or more, no member municipality may withdraw from the district while the indebtedness remains outstanding without the approval of a simple majority vote of the board of directors of the district.  A withdrawing municipality shall make provisions satisfactory to the board of directors to pay its share of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In considering the request of a municipality to withdraw, the board of directors shall consider the effect of the proposed withdrawal on the ability of the district to continue operating its waste facility in a manner and at a cost to the remaining member municipalities which is reasonable in comparison with costs experienced by the member municipalities over the most recent 3 fiscal years. The board of directors shall consider the effect on tipping fees and other costs, as well as the effect on revenue from the sale of power caused by the loss of the amount of waste contributed by the withdrawing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If the withdrawal causes the costs of the other member municipalities to increase by reducing the efficiency of the waste facility, the withdrawing municipality may be required by the board of directors as a condition of withdrawal either to secure an alternate and equivalent source of waste for the district, both in quality and quantity, or to execute an agreement to make payments to the district for a period of 5 years following withdrawal, which will cause the cost of the other member municipalities to remain constant over that period, when adjusted annually for the effect of all other factors on such costs.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Subject to any required approval by the board of directors of the district, withdrawal by a municipality may be accomplished by a vote of the inhabitants of the municipality, or by determination of the municipal officers, in the same manner as the decision to join in the formation of the district under </w:t>
      </w:r>
      <w:r>
        <w:t>section 1721</w:t>
      </w:r>
      <w:r>
        <w:t xml:space="preserve">.  The town meeting or city election, as the case may be, to consider withdrawal shall be called by the municipal officers upon receipt of a petition of 10% of the number of voters in the municipality who voted in the last gubernatorial election.  The question to be voted upon shall be in substantially the following form: </w:t>
      </w:r>
    </w:p>
    <w:p xmlns:wp="http://schemas.openxmlformats.org/drawingml/2010/wordprocessingDrawing" xmlns:w15="http://schemas.microsoft.com/office/word/2012/wordml">
      <w:pPr>
        <w:spacing w:before="100" w:after="100"/>
        <w:ind w:start="1080"/>
        <w:ind w:firstLine="360"/>
        <w:ind w:end="720"/>
      </w:pPr>
      <w:r>
        <w:t xml:space="preserve">To see if the town (or city) of (name of town or city) will vote to withdraw from (name of disposal district).</w:t>
      </w:r>
      <w:r>
        <w:t xml:space="preserve">  </w:t>
      </w:r>
      <w:r>
        <w:rPr>
          <w:rFonts w:ascii="Arial" w:hAnsi="Arial" w:cs="Arial"/>
          <w:sz w:val="22"/>
          <w:szCs w:val="22"/>
        </w:rPr>
        <w:t xml:space="preserve">[PL 1983, c. 820, §2 (NEW).]</w:t>
      </w:r>
    </w:p>
    <w:p>
      <w:pPr>
        <w:jc w:val="both"/>
        <w:spacing w:before="100" w:after="100"/>
        <w:ind w:start="360"/>
        <w:ind w:firstLine="360"/>
      </w:pPr>
      <w:r>
        <w:rPr/>
      </w:r>
      <w:r>
        <w:rPr/>
      </w:r>
      <w:r>
        <w:t xml:space="preserve">The number of votes required for passage shall be 2/3 of those voting.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1732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last known address of owner or owners.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If the owner or owners are not known or if they cannot be notified by personal service or certified mail, notice may be given by publication in the same manner as provided for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as for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of the district shall hold a public hearing on the advisability of the proposed exercise of the right of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1734</w:t>
        <w:t xml:space="preserve">.  </w:t>
      </w:r>
      <w:r>
        <w:rPr>
          <w:b/>
        </w:rPr>
        <w:t xml:space="preserve">Condemnation proceedings</w:t>
      </w:r>
    </w:p>
    <w:p>
      <w:pPr>
        <w:jc w:val="both"/>
        <w:spacing w:before="100" w:after="100"/>
        <w:ind w:start="360"/>
        <w:ind w:firstLine="360"/>
      </w:pPr>
      <w:r>
        <w:rPr/>
      </w:r>
      <w:r>
        <w:rPr/>
      </w:r>
      <w:r>
        <w:t xml:space="preserve">Each disposal district formed under this chapter, in exercising from time to time the right of eminent domain conferred upon it by </w:t>
      </w:r>
      <w:r>
        <w:t>section 1732</w:t>
      </w:r>
      <w:r>
        <w:t xml:space="preserve">, shall file in the office of the county commissioners of the county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any such district fails to acquire property which it is authorized to take and which is described in that location, or if the location so recorded is defective and uncertain, it may, at any time, correct and perfect the location and file a new description. In that case, any such district is liable in damages only for property for which the owner had not previously been paid, to be assessed as of the time of the original taking, and any such district is not liable for any acts which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shall not vest in the district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1740</w:t>
        <w:t xml:space="preserve">.  </w:t>
      </w:r>
      <w:r>
        <w:rPr>
          <w:b/>
        </w:rPr>
        <w:t xml:space="preserve">Annual audit</w:t>
      </w:r>
    </w:p>
    <w:p>
      <w:pPr>
        <w:jc w:val="both"/>
        <w:spacing w:before="100" w:after="100"/>
        <w:ind w:start="360"/>
        <w:ind w:firstLine="360"/>
      </w:pPr>
      <w:r>
        <w:rPr/>
      </w:r>
      <w:r>
        <w:rPr/>
      </w:r>
      <w:r>
        <w:t xml:space="preserve">Each year an audit must be made of the accounts of the district, and for this purpose authorized agents of a certified public accounting firm appointed by the directors must have access to all necessary papers, books and records.  Upon the completion of each audit, a report must be made to the chair of the district board of directors and a copy must be sent to the municipal officers of each member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B, §294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§294 (COR). </w:t>
      </w:r>
    </w:p>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17. MAINE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