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Sewer extensions; applicable to all sewer districts</w:t>
      </w:r>
    </w:p>
    <w:p>
      <w:pPr>
        <w:jc w:val="both"/>
        <w:spacing w:before="100" w:after="100"/>
        <w:ind w:start="360"/>
        <w:ind w:firstLine="360"/>
      </w:pPr>
      <w:r>
        <w:rPr/>
      </w:r>
      <w:r>
        <w:rPr/>
      </w:r>
      <w:r>
        <w:t xml:space="preserve">Sewer extensions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Written assurance from municipality.</w:t>
        <w:t xml:space="preserve"> </w:t>
      </w:r>
      <w:r>
        <w:t xml:space="preserve"> </w:t>
      </w:r>
      <w:r>
        <w:t xml:space="preserve">A sewer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pPr>
      <w:r>
        <w:rPr/>
      </w:r>
      <w:r>
        <w:rPr/>
      </w:r>
      <w:r>
        <w:t xml:space="preserve">If the municipal officers fail to issue a response to a written request from a sewer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sewer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Review of municipal decision; applicable to all sewer districts.</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sewer district, the municipality or the department. All information requested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sewer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Notwithstanding </w:t>
      </w:r>
      <w:r>
        <w:t>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sewer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7 and specifically provides that this subsection or former section 1252, subsection 7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Sewer extensions;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Sewer extensions;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§1042. SEWER EXTENSIONS;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