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1101-A</w:t>
        <w:t xml:space="preserve">.  </w:t>
      </w:r>
      <w:r>
        <w:rPr>
          <w:b/>
        </w:rPr>
        <w:t xml:space="preserve">Fees</w:t>
      </w:r>
    </w:p>
    <w:p>
      <w:pPr>
        <w:jc w:val="both"/>
        <w:spacing w:before="100" w:after="100"/>
        <w:ind w:start="360"/>
        <w:ind w:firstLine="360"/>
      </w:pPr>
      <w:r>
        <w:rPr/>
      </w:r>
      <w:r>
        <w:rPr/>
      </w:r>
      <w:r>
        <w:t xml:space="preserve">The commissioner may establish reasonable application fees for processing applications for the formation of districts under this chapter or </w:t>
      </w:r>
      <w:r>
        <w:t>chapter 11‑A</w:t>
      </w:r>
      <w:r>
        <w:t xml:space="preserve">.  The commissioner shall place these fees into a nonlapsing dedicated revenue account, and funds from the account may be used by the department or the board only to pay costs associated with processing applications for the formation of districts under this chapter or </w:t>
      </w:r>
      <w:r>
        <w:t>chapter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§1101-A.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