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§1106. OPERATIONAL DATE OF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