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1319-C</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of hazardous waste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2</w:t>
        <w:t xml:space="preserve">.  </w:t>
      </w:r>
      <w:r>
        <w:rPr>
          <w:b/>
        </w:rPr>
        <w:t xml:space="preserve">Remove or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162, §10 (RP).]</w:t>
      </w:r>
    </w:p>
    <w:p>
      <w:pPr>
        <w:jc w:val="both"/>
        <w:spacing w:before="100" w:after="0"/>
        <w:ind w:start="360"/>
        <w:ind w:firstLine="360"/>
      </w:pPr>
      <w:r>
        <w:rPr>
          <w:b/>
        </w:rPr>
        <w:t>3</w:t>
        <w:t xml:space="preserve">.  </w:t>
      </w:r>
      <w:r>
        <w:rPr>
          <w:b/>
        </w:rPr>
        <w:t xml:space="preserve">Responsible party.</w:t>
        <w:t xml:space="preserve"> </w:t>
      </w:r>
      <w:r>
        <w:t xml:space="preserve"> </w:t>
      </w:r>
      <w:r>
        <w:t xml:space="preserve">"Responsible party" means any person who could be held liable under </w:t>
      </w:r>
      <w:r>
        <w:t>section 1319‑J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1985, c. 162, §10 (AMD). PL 2009, c. 501,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