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w:t>
        <w:t xml:space="preserve">.  </w:t>
      </w:r>
      <w:r>
        <w:rPr>
          <w:b/>
        </w:rPr>
        <w:t xml:space="preserve">Emergency</w:t>
      </w:r>
    </w:p>
    <w:p>
      <w:pPr>
        <w:jc w:val="both"/>
        <w:spacing w:before="100" w:after="100"/>
        <w:ind w:start="360"/>
        <w:ind w:firstLine="360"/>
      </w:pPr>
      <w:r>
        <w:rPr/>
      </w:r>
      <w:r>
        <w:rPr/>
      </w:r>
      <w:r>
        <w:t xml:space="preserve">Whenever the commissioner determines that an emergency exists as the result of a threat or hazard posed by an uncontrolled site, the commissioner shall immediately notify the Governor.  The Governor may declare an emergency and, in addition to whatever action is necessary and available to the Governor under law, may authorize the Commissioner of Environmental Protection in conjunction with the Commissioner of Public Safety to:</w:t>
      </w:r>
      <w:r>
        <w:t xml:space="preserve">  </w:t>
      </w:r>
      <w:r xmlns:wp="http://schemas.openxmlformats.org/drawingml/2010/wordprocessingDrawing" xmlns:w15="http://schemas.microsoft.com/office/word/2012/wordml">
        <w:rPr>
          <w:rFonts w:ascii="Arial" w:hAnsi="Arial" w:cs="Arial"/>
          <w:sz w:val="22"/>
          <w:szCs w:val="22"/>
        </w:rPr>
        <w:t xml:space="preserve">[RR 2021, c. 2, Pt. B, §288 (COR).]</w:t>
      </w:r>
    </w:p>
    <w:p>
      <w:pPr>
        <w:jc w:val="both"/>
        <w:spacing w:before="100" w:after="0"/>
        <w:ind w:start="360"/>
        <w:ind w:firstLine="360"/>
      </w:pPr>
      <w:r>
        <w:rPr>
          <w:b/>
        </w:rPr>
        <w:t>1</w:t>
        <w:t xml:space="preserve">.  </w:t>
      </w:r>
      <w:r>
        <w:rPr>
          <w:b/>
        </w:rPr>
        <w:t xml:space="preserve">Take control.</w:t>
        <w:t xml:space="preserve"> </w:t>
      </w:r>
      <w:r>
        <w:t xml:space="preserve"> </w:t>
      </w:r>
      <w:r>
        <w:t xml:space="preserve">Take control of the uncontrolled site and threatened adjacent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Secure.</w:t>
        <w:t xml:space="preserve"> </w:t>
      </w:r>
      <w:r>
        <w:t xml:space="preserve"> </w:t>
      </w:r>
      <w:r>
        <w:t xml:space="preserve">Secure the uncontrolled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3</w:t>
        <w:t xml:space="preserve">.  </w:t>
      </w:r>
      <w:r>
        <w:rPr>
          <w:b/>
        </w:rPr>
        <w:t xml:space="preserve">Eject.</w:t>
        <w:t xml:space="preserve"> </w:t>
      </w:r>
      <w:r>
        <w:t xml:space="preserve"> </w:t>
      </w:r>
      <w:r>
        <w:t xml:space="preserve">Eject all persons from the uncontrolled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4</w:t>
        <w:t xml:space="preserve">.  </w:t>
      </w:r>
      <w:r>
        <w:rPr>
          <w:b/>
        </w:rPr>
        <w:t xml:space="preserve">Dispose, treat, store or handle.</w:t>
        <w:t xml:space="preserve"> </w:t>
      </w:r>
      <w:r>
        <w:t xml:space="preserve"> </w:t>
      </w:r>
      <w:r>
        <w:t xml:space="preserve">Dispose, treat, store or otherwise handle all hazardous substances located on the uncontrolled site, including soil and water contaminated by hazardous substances;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5</w:t>
        <w:t xml:space="preserve">.  </w:t>
      </w:r>
      <w:r>
        <w:rPr>
          <w:b/>
        </w:rPr>
        <w:t xml:space="preserve">Take action.</w:t>
        <w:t xml:space="preserve"> </w:t>
      </w:r>
      <w:r>
        <w:t xml:space="preserve"> </w:t>
      </w:r>
      <w:r>
        <w:t xml:space="preserve">Take whatever other action is deemed necessary to abate, clean up or mitigate the threat or hazard posed by the uncontrolled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RR 2021, c. 2, Pt. B, §288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§1368.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§1368.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