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§10 (RPR).]</w:t>
      </w:r>
    </w:p>
    <w:p>
      <w:pPr>
        <w:jc w:val="both"/>
        <w:spacing w:before="100" w:after="100"/>
        <w:ind w:start="360"/>
        <w:ind w:firstLine="360"/>
      </w:pPr>
      <w:r>
        <w:rPr>
          <w:b/>
        </w:rPr>
        <w:t>2</w:t>
        <w:t xml:space="preserve">.  </w:t>
      </w:r>
      <w:r>
        <w:rPr>
          <w:b/>
        </w:rPr>
        <w:t xml:space="preserve">Hazardous material.</w:t>
        <w:t xml:space="preserve"> </w:t>
      </w:r>
      <w:r>
        <w:t xml:space="preserve"> </w:t>
      </w:r>
      <w:r>
        <w:t xml:space="preserve">"Hazardous material" includes:</w:t>
      </w:r>
    </w:p>
    <w:p>
      <w:pPr>
        <w:jc w:val="both"/>
        <w:spacing w:before="100" w:after="0"/>
        <w:ind w:start="720"/>
      </w:pPr>
      <w:r>
        <w:rPr/>
        <w:t>A</w:t>
        <w:t xml:space="preserve">.  </w:t>
      </w:r>
      <w:r>
        <w:rPr/>
      </w:r>
      <w:r>
        <w:t xml:space="preserve">Hazardous waste, as defined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B</w:t>
        <w:t xml:space="preserve">.  </w:t>
      </w:r>
      <w:r>
        <w:rPr/>
      </w:r>
      <w:r>
        <w:t xml:space="preserve">Hazardous matter, as defined in </w:t>
      </w:r>
      <w:r>
        <w:t>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C</w:t>
        <w:t xml:space="preserve">.  </w:t>
      </w:r>
      <w:r>
        <w:rPr/>
      </w:r>
      <w:r>
        <w:t xml:space="preserve">Hazardous material, as defined in </w:t>
      </w:r>
      <w:r>
        <w:t>Title 25, section 2102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57, Pt. B,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57, Pt. B, §9 (RP).]</w:t>
      </w:r>
    </w:p>
    <w:p>
      <w:pPr>
        <w:jc w:val="both"/>
        <w:spacing w:before="100" w:after="0"/>
        <w:ind w:start="720"/>
      </w:pPr>
      <w:r>
        <w:rPr/>
        <w:t>E</w:t>
        <w:t xml:space="preserve">.  </w:t>
      </w:r>
      <w:r>
        <w:rPr/>
      </w:r>
      <w:r>
        <w:t xml:space="preserve">Other substances identified as hazardous by any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§§8, 9 (AMD).]</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partnership, corporation, association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§§10,11 (AMD). PL 1999, c. 57,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