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Charterer deemed owner; responsibility to real owner</w:t>
      </w:r>
    </w:p>
    <w:p>
      <w:pPr>
        <w:jc w:val="both"/>
        <w:spacing w:before="100" w:after="100"/>
        <w:ind w:start="360"/>
        <w:ind w:firstLine="360"/>
      </w:pPr>
      <w:r>
        <w:rPr/>
      </w:r>
      <w:r>
        <w:rPr/>
      </w:r>
      <w:r>
        <w:t xml:space="preserve">For the purposes of section 161, the charterer of any vessel, navigating the same at the charterer's own expense, is deemed the owner. If loss happens to any person from the causes therein mentioned and it is compensated from the freight or vessel, the owner thereof may recover the amount from the charterer.</w:t>
      </w:r>
      <w:r>
        <w:t xml:space="preserve">  </w:t>
      </w:r>
      <w:r xmlns:wp="http://schemas.openxmlformats.org/drawingml/2010/wordprocessingDrawing" xmlns:w15="http://schemas.microsoft.com/office/word/2012/wordml">
        <w:rPr>
          <w:rFonts w:ascii="Arial" w:hAnsi="Arial" w:cs="Arial"/>
          <w:sz w:val="22"/>
          <w:szCs w:val="22"/>
        </w:rPr>
        <w:t xml:space="preserve">[RR 2021, c. 2, Pt. B, §233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Charterer deemed owner; responsibility to real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Charterer deemed owner; responsibility to real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§162. CHARTERER DEEMED OWNER; RESPONSIBILITY TO REAL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