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Disposal ban</w:t>
      </w:r>
    </w:p>
    <w:p>
      <w:pPr>
        <w:jc w:val="both"/>
        <w:spacing w:before="100" w:after="100"/>
        <w:ind w:start="360"/>
        <w:ind w:firstLine="360"/>
      </w:pPr>
      <w:r>
        <w:rPr/>
      </w:r>
      <w:r>
        <w:rPr/>
      </w:r>
      <w:r>
        <w:t xml:space="preserve">After July 15, 2002, a person may not knowingly place a mercury-added product in solid waste for disposal in a solid waste disposal facility.  This section may not be construed to affect existing laws, rules or regulations governing disposal of mercury-added products prior to July 15, 2002.</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Disposal ban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Disposal ban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§1663. DISPOSAL BAN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