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1664</w:t>
        <w:t xml:space="preserve">.  </w:t>
      </w:r>
      <w:r>
        <w:rPr>
          <w:b/>
        </w:rPr>
        <w:t xml:space="preserve">Source separation</w:t>
      </w:r>
    </w:p>
    <w:p>
      <w:pPr>
        <w:jc w:val="both"/>
        <w:spacing w:before="100" w:after="100"/>
        <w:ind w:start="360"/>
        <w:ind w:firstLine="360"/>
      </w:pPr>
      <w:r>
        <w:rPr>
          <w:b/>
        </w:rPr>
        <w:t>1</w:t>
        <w:t xml:space="preserve">.  </w:t>
      </w:r>
      <w:r>
        <w:rPr>
          <w:b/>
        </w:rPr>
        <w:t xml:space="preserve">Removal from service; products containing mercury.</w:t>
        <w:t xml:space="preserve"> </w:t>
      </w:r>
      <w:r>
        <w:t xml:space="preserve"> </w:t>
      </w:r>
      <w:r>
        <w:t xml:space="preserve">When a mercury-added product is removed from service, the mercury in the item must be reused, recycled or otherwise managed to ensure compliance with </w:t>
      </w:r>
      <w:r>
        <w:t>section 1663</w:t>
      </w:r>
      <w:r>
        <w:t xml:space="preserve">.</w:t>
      </w:r>
    </w:p>
    <w:p>
      <w:pPr>
        <w:jc w:val="both"/>
        <w:spacing w:before="100" w:after="0"/>
        <w:ind w:start="360"/>
      </w:pPr>
      <w:r>
        <w:rPr/>
      </w:r>
      <w:r>
        <w:rPr/>
      </w:r>
      <w:r>
        <w:t xml:space="preserve">A person who is in the business of replacing or repairing a mercury-added product in households shall ensure, or deliver the item to a facility that will ensure, that the mercury contained in an item that is replaced or repaired is reused, recycled or otherwise managed in compliance with </w:t>
      </w:r>
      <w:r>
        <w:t>section 1663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w:t>
      </w:r>
    </w:p>
    <w:p>
      <w:pPr>
        <w:jc w:val="both"/>
        <w:spacing w:before="100" w:after="100"/>
        <w:ind w:start="360"/>
        <w:ind w:firstLine="360"/>
      </w:pPr>
      <w:r>
        <w:rPr>
          <w:b/>
        </w:rPr>
        <w:t>2</w:t>
        <w:t xml:space="preserve">.  </w:t>
      </w:r>
      <w:r>
        <w:rPr>
          <w:b/>
        </w:rPr>
        <w:t xml:space="preserve">Thermostats.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501, §23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PL 2003, c. 640, §1 (AMD). PL 2009, c. 501,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§1664. Source separation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§1664. Source separation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§1664. SOURCE SEPARATION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