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 IDENTIFICATION OF CHEMICALS OF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