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§1706. RELATIONSHIP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