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Reimbursement of costs to municipalities</w:t>
      </w:r>
    </w:p>
    <w:p>
      <w:pPr>
        <w:jc w:val="both"/>
        <w:spacing w:before="100" w:after="100"/>
        <w:ind w:start="360"/>
        <w:ind w:firstLine="360"/>
      </w:pPr>
      <w:r>
        <w:rPr/>
      </w:r>
      <w:r>
        <w:rPr/>
      </w:r>
      <w:r>
        <w:t xml:space="preserve">At the sole discretion of the board of directors of the district, any municipality or municipalities which fall within a district formed under this chapter shall be entitled to reimbursement of reasonable incurred costs from that district when the financial position of the district allows.  The term "costs," as used in this section, includes, but is not limited to, the following:  Cost of preparation of an engineering study or studies; legal costs with relation to the application and presentation of any application for the formation of the district; other engineering costs that may not be included in a study; costs for financial advice; administrative expense; and such other expenses as may be necessary or incidental to the action of any municipality under this chapter, including funding provided pursuant to an agreement entered into pursuant to </w:t>
      </w:r>
      <w:r>
        <w:t>Title 30, chapter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§1707. Reimbursement of costs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Reimbursement of costs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§1707. REIMBURSEMENT OF COSTS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