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1738</w:t>
        <w:t xml:space="preserve">.  </w:t>
      </w:r>
      <w:r>
        <w:rPr>
          <w:b/>
        </w:rPr>
        <w:t xml:space="preserve">Delivery of solid waste</w:t>
      </w:r>
    </w:p>
    <w:p>
      <w:pPr>
        <w:jc w:val="both"/>
        <w:spacing w:before="100" w:after="100"/>
        <w:ind w:start="360"/>
        <w:ind w:firstLine="360"/>
      </w:pPr>
      <w:r>
        <w:rPr/>
      </w:r>
      <w:r>
        <w:rPr/>
      </w:r>
      <w:r>
        <w:t xml:space="preserve">Prior to a municipality becoming a member of a district or contracting with a district for disposal services, where a district waste facility meets the requirements of </w:t>
      </w:r>
      <w:r>
        <w:t>section 1304‑B</w:t>
      </w:r>
      <w:r>
        <w:t xml:space="preserve">, at the discretion of the board of directors of the district, a municipality may be required to enact an ordinance controlling solid waste delivery in accordance with </w:t>
      </w:r>
      <w:r>
        <w:t>section 1304‑B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§1738. Delivery of solid waste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§1738. Delivery of solid waste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§1738. DELIVERY OF SOLID WASTE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